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6B" w:rsidRDefault="00D22E6B" w:rsidP="00D22E6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F98760A" wp14:editId="36F5148E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73226AE4" wp14:editId="0A6BAED5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Default="00D22E6B" w:rsidP="00D22E6B">
      <w:pPr>
        <w:tabs>
          <w:tab w:val="left" w:pos="720"/>
        </w:tabs>
        <w:rPr>
          <w:b/>
        </w:rPr>
      </w:pPr>
    </w:p>
    <w:p w:rsidR="00D22E6B" w:rsidRPr="007670CF" w:rsidRDefault="00D22E6B" w:rsidP="00D22E6B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D22E6B" w:rsidRPr="007670CF" w:rsidRDefault="00D22E6B" w:rsidP="00D22E6B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D22E6B" w:rsidRPr="007670CF" w:rsidRDefault="00D22E6B" w:rsidP="00D22E6B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D22E6B" w:rsidRPr="007670CF" w:rsidRDefault="00D22E6B" w:rsidP="00D22E6B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007F19">
        <w:rPr>
          <w:b/>
        </w:rPr>
        <w:t xml:space="preserve">31  de mayo </w:t>
      </w:r>
      <w:r>
        <w:rPr>
          <w:b/>
        </w:rPr>
        <w:t>2021</w:t>
      </w:r>
    </w:p>
    <w:p w:rsidR="00D22E6B" w:rsidRDefault="00D22E6B" w:rsidP="00D22E6B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>
        <w:rPr>
          <w:b/>
        </w:rPr>
        <w:t>CORRESPONDE AL MES DE:</w:t>
      </w:r>
      <w:r>
        <w:rPr>
          <w:b/>
        </w:rPr>
        <w:tab/>
        <w:t xml:space="preserve">            </w:t>
      </w:r>
      <w:r w:rsidR="00007F19">
        <w:rPr>
          <w:b/>
        </w:rPr>
        <w:t>MAYO</w:t>
      </w:r>
      <w:bookmarkStart w:id="0" w:name="_GoBack"/>
      <w:bookmarkEnd w:id="0"/>
      <w:r w:rsidR="00593D00">
        <w:rPr>
          <w:b/>
        </w:rPr>
        <w:t xml:space="preserve"> </w:t>
      </w:r>
      <w:r w:rsidR="00311037">
        <w:rPr>
          <w:b/>
        </w:rPr>
        <w:t xml:space="preserve"> </w:t>
      </w:r>
      <w:r>
        <w:rPr>
          <w:b/>
        </w:rPr>
        <w:t>2021</w:t>
      </w:r>
    </w:p>
    <w:p w:rsidR="00D22E6B" w:rsidRDefault="00D22E6B" w:rsidP="00D22E6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B15FC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aplican l</w:t>
      </w:r>
      <w:r>
        <w:rPr>
          <w:rFonts w:ascii="Century" w:hAnsi="Century"/>
          <w:i w:val="0"/>
          <w:sz w:val="40"/>
          <w:szCs w:val="40"/>
        </w:rPr>
        <w:t>os criterios del inciso 21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</w:t>
      </w:r>
      <w:r>
        <w:rPr>
          <w:rFonts w:ascii="Century" w:hAnsi="Century"/>
          <w:i w:val="0"/>
          <w:sz w:val="40"/>
          <w:szCs w:val="40"/>
        </w:rPr>
        <w:t>capítulo</w:t>
      </w:r>
      <w:r w:rsidRPr="00F12519">
        <w:rPr>
          <w:rFonts w:ascii="Century" w:hAnsi="Century"/>
          <w:i w:val="0"/>
          <w:sz w:val="40"/>
          <w:szCs w:val="40"/>
        </w:rPr>
        <w:t xml:space="preserve"> segundo, Obligaciones de Transparencia, </w:t>
      </w:r>
      <w:r w:rsidR="00B15FC9">
        <w:rPr>
          <w:rFonts w:ascii="Century" w:hAnsi="Century"/>
          <w:i w:val="0"/>
          <w:sz w:val="40"/>
          <w:szCs w:val="40"/>
        </w:rPr>
        <w:t xml:space="preserve">ya que en esta Gobernación no se manejan fideicomisos. </w:t>
      </w: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E941C1" w:rsidRDefault="00E941C1" w:rsidP="00B15FC9">
      <w:pPr>
        <w:jc w:val="both"/>
        <w:rPr>
          <w:rFonts w:ascii="Century" w:hAnsi="Century"/>
          <w:i w:val="0"/>
          <w:sz w:val="40"/>
          <w:szCs w:val="40"/>
        </w:rPr>
      </w:pPr>
    </w:p>
    <w:p w:rsidR="00F82CAB" w:rsidRDefault="00F82CAB" w:rsidP="00F82CAB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B"/>
    <w:rsid w:val="00007F19"/>
    <w:rsid w:val="00196E71"/>
    <w:rsid w:val="001B676A"/>
    <w:rsid w:val="00311037"/>
    <w:rsid w:val="00593D00"/>
    <w:rsid w:val="00793315"/>
    <w:rsid w:val="007B5943"/>
    <w:rsid w:val="00B15FC9"/>
    <w:rsid w:val="00D22E6B"/>
    <w:rsid w:val="00E941C1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1BACF-549E-470F-8D01-7CB4738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A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2CAB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2CAB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2016-02-29T17:41:00Z</dcterms:created>
  <dcterms:modified xsi:type="dcterms:W3CDTF">2021-06-11T16:47:00Z</dcterms:modified>
</cp:coreProperties>
</file>